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C04A5" w14:textId="0AC9242D" w:rsidR="0086493B" w:rsidRDefault="0086493B" w:rsidP="0086493B">
      <w:r>
        <w:rPr>
          <w:noProof/>
        </w:rPr>
        <w:t xml:space="preserve">   </w:t>
      </w:r>
      <w:r>
        <w:rPr>
          <w:noProof/>
        </w:rPr>
        <w:drawing>
          <wp:inline distT="0" distB="0" distL="0" distR="0" wp14:anchorId="0F1FECBE" wp14:editId="5B32A90F">
            <wp:extent cx="1743075" cy="631492"/>
            <wp:effectExtent l="0" t="0" r="0" b="0"/>
            <wp:docPr id="2" name="Picture 2" descr="A Vision Forward: Policies Needed to Protect The Best Interests of  “Category 4” Unaccompanied Immigrant Children – Justice for Immigr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Vision Forward: Policies Needed to Protect The Best Interests of  “Category 4” Unaccompanied Immigrant Children – Justice for Immigrant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6277" cy="643521"/>
                    </a:xfrm>
                    <a:prstGeom prst="rect">
                      <a:avLst/>
                    </a:prstGeom>
                    <a:noFill/>
                    <a:ln>
                      <a:noFill/>
                    </a:ln>
                  </pic:spPr>
                </pic:pic>
              </a:graphicData>
            </a:graphic>
          </wp:inline>
        </w:drawing>
      </w:r>
      <w:r>
        <w:rPr>
          <w:noProof/>
        </w:rPr>
        <w:t xml:space="preserve">     </w:t>
      </w:r>
      <w:r w:rsidR="00145131">
        <w:rPr>
          <w:noProof/>
        </w:rPr>
        <w:t xml:space="preserve">                                                                    </w:t>
      </w:r>
      <w:r>
        <w:rPr>
          <w:noProof/>
        </w:rPr>
        <w:t xml:space="preserve">        </w:t>
      </w:r>
      <w:r w:rsidR="00145131">
        <w:rPr>
          <w:noProof/>
        </w:rPr>
        <w:drawing>
          <wp:inline distT="0" distB="0" distL="0" distR="0" wp14:anchorId="43081EAA" wp14:editId="298D35A1">
            <wp:extent cx="914400" cy="891488"/>
            <wp:effectExtent l="0" t="0" r="0" b="4445"/>
            <wp:docPr id="3" name="Picture 3" descr="UNITED STATES CONFERENCE OF CATHOLIC BISHOPS - GuideStar 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ITED STATES CONFERENCE OF CATHOLIC BISHOPS - GuideStar Profi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2313" cy="899203"/>
                    </a:xfrm>
                    <a:prstGeom prst="rect">
                      <a:avLst/>
                    </a:prstGeom>
                    <a:noFill/>
                    <a:ln>
                      <a:noFill/>
                    </a:ln>
                  </pic:spPr>
                </pic:pic>
              </a:graphicData>
            </a:graphic>
          </wp:inline>
        </w:drawing>
      </w:r>
    </w:p>
    <w:p w14:paraId="6B053E37" w14:textId="77777777" w:rsidR="0086493B" w:rsidRDefault="0086493B" w:rsidP="0086493B">
      <w:pPr>
        <w:jc w:val="center"/>
      </w:pPr>
    </w:p>
    <w:p w14:paraId="2D9B9E15" w14:textId="4CFCF461" w:rsidR="0086493B" w:rsidRPr="008A290A" w:rsidRDefault="0086493B" w:rsidP="0086493B">
      <w:pPr>
        <w:jc w:val="center"/>
        <w:rPr>
          <w:b/>
          <w:bCs/>
          <w:sz w:val="24"/>
          <w:szCs w:val="24"/>
        </w:rPr>
      </w:pPr>
      <w:r w:rsidRPr="008A290A">
        <w:rPr>
          <w:b/>
          <w:bCs/>
          <w:sz w:val="24"/>
          <w:szCs w:val="24"/>
        </w:rPr>
        <w:t>APA Walk-In Approval Process</w:t>
      </w:r>
      <w:r w:rsidR="00C6323F">
        <w:rPr>
          <w:b/>
          <w:bCs/>
          <w:sz w:val="24"/>
          <w:szCs w:val="24"/>
        </w:rPr>
        <w:t xml:space="preserve"> (</w:t>
      </w:r>
      <w:r w:rsidR="00C6323F" w:rsidRPr="00C6323F">
        <w:rPr>
          <w:b/>
          <w:bCs/>
          <w:sz w:val="24"/>
          <w:szCs w:val="24"/>
          <w:highlight w:val="yellow"/>
        </w:rPr>
        <w:t>rev.</w:t>
      </w:r>
      <w:r w:rsidR="00D85A76">
        <w:rPr>
          <w:b/>
          <w:bCs/>
          <w:sz w:val="24"/>
          <w:szCs w:val="24"/>
          <w:highlight w:val="yellow"/>
        </w:rPr>
        <w:t>11/10/</w:t>
      </w:r>
      <w:r w:rsidR="00C6323F" w:rsidRPr="00C6323F">
        <w:rPr>
          <w:b/>
          <w:bCs/>
          <w:sz w:val="24"/>
          <w:szCs w:val="24"/>
          <w:highlight w:val="yellow"/>
        </w:rPr>
        <w:t>2021</w:t>
      </w:r>
      <w:r w:rsidR="00C6323F">
        <w:rPr>
          <w:b/>
          <w:bCs/>
          <w:sz w:val="24"/>
          <w:szCs w:val="24"/>
        </w:rPr>
        <w:t>)</w:t>
      </w:r>
    </w:p>
    <w:p w14:paraId="315EFA16" w14:textId="2C6F5B8A" w:rsidR="00BD2184" w:rsidRPr="008A290A" w:rsidRDefault="0086493B">
      <w:pPr>
        <w:rPr>
          <w:sz w:val="24"/>
          <w:szCs w:val="24"/>
        </w:rPr>
      </w:pPr>
      <w:r w:rsidRPr="008A290A">
        <w:rPr>
          <w:sz w:val="24"/>
          <w:szCs w:val="24"/>
        </w:rPr>
        <w:t>Effective immediately, Afghans granted humanitarian parole into the United States on or after August 15</w:t>
      </w:r>
      <w:r w:rsidR="00BD2184" w:rsidRPr="00BD2184">
        <w:rPr>
          <w:sz w:val="24"/>
          <w:szCs w:val="24"/>
          <w:vertAlign w:val="superscript"/>
        </w:rPr>
        <w:t>th</w:t>
      </w:r>
      <w:r w:rsidRPr="008A290A">
        <w:rPr>
          <w:sz w:val="24"/>
          <w:szCs w:val="24"/>
        </w:rPr>
        <w:t xml:space="preserve">, </w:t>
      </w:r>
      <w:proofErr w:type="gramStart"/>
      <w:r w:rsidRPr="008A290A">
        <w:rPr>
          <w:sz w:val="24"/>
          <w:szCs w:val="24"/>
        </w:rPr>
        <w:t>2021</w:t>
      </w:r>
      <w:proofErr w:type="gramEnd"/>
      <w:r w:rsidRPr="008A290A">
        <w:rPr>
          <w:sz w:val="24"/>
          <w:szCs w:val="24"/>
        </w:rPr>
        <w:t xml:space="preserve"> who do not travel to their final destination on an IOM-booked flight may request APA benefits after arrival.</w:t>
      </w:r>
    </w:p>
    <w:p w14:paraId="260C3EC2" w14:textId="66153639" w:rsidR="0086493B" w:rsidRPr="008A290A" w:rsidRDefault="0086493B">
      <w:pPr>
        <w:rPr>
          <w:sz w:val="24"/>
          <w:szCs w:val="24"/>
        </w:rPr>
      </w:pPr>
      <w:r w:rsidRPr="008A290A">
        <w:rPr>
          <w:sz w:val="24"/>
          <w:szCs w:val="24"/>
        </w:rPr>
        <w:t xml:space="preserve">Eligible individuals must request APA benefits within 90 days of departing a Safe Haven (or within 90 days of being granted parole for those who did not reside on a Safe Haven). </w:t>
      </w:r>
      <w:r w:rsidR="00CE3323" w:rsidRPr="008A290A">
        <w:rPr>
          <w:sz w:val="24"/>
          <w:szCs w:val="24"/>
        </w:rPr>
        <w:t>Resettlement</w:t>
      </w:r>
      <w:r w:rsidRPr="008A290A">
        <w:rPr>
          <w:sz w:val="24"/>
          <w:szCs w:val="24"/>
        </w:rPr>
        <w:t xml:space="preserve"> staff should strongly encourage and counsel APA </w:t>
      </w:r>
      <w:r w:rsidR="001A1731" w:rsidRPr="008A290A">
        <w:rPr>
          <w:sz w:val="24"/>
          <w:szCs w:val="24"/>
        </w:rPr>
        <w:t xml:space="preserve">beneficiaries to </w:t>
      </w:r>
      <w:r w:rsidRPr="008A290A">
        <w:rPr>
          <w:sz w:val="24"/>
          <w:szCs w:val="24"/>
        </w:rPr>
        <w:t xml:space="preserve">ensure that they are in compliance with the conditions of their parole, including ensuring they receive all required vaccinations and medical screenings if they were not completed at a Safe Haven (see the sample template for walk-ins attachment as a resource). </w:t>
      </w:r>
    </w:p>
    <w:p w14:paraId="39EC540A" w14:textId="0F38DD9D" w:rsidR="0086493B" w:rsidRPr="008A290A" w:rsidRDefault="00CE3323">
      <w:pPr>
        <w:rPr>
          <w:b/>
          <w:bCs/>
          <w:sz w:val="24"/>
          <w:szCs w:val="24"/>
          <w:u w:val="single"/>
        </w:rPr>
      </w:pPr>
      <w:r w:rsidRPr="008A290A">
        <w:rPr>
          <w:b/>
          <w:bCs/>
          <w:sz w:val="24"/>
          <w:szCs w:val="24"/>
          <w:u w:val="single"/>
        </w:rPr>
        <w:t>Eligibility Verification Process</w:t>
      </w:r>
    </w:p>
    <w:p w14:paraId="3A5B49C1" w14:textId="298C35D1" w:rsidR="0086493B" w:rsidRPr="008A290A" w:rsidRDefault="0086493B">
      <w:pPr>
        <w:rPr>
          <w:sz w:val="24"/>
          <w:szCs w:val="24"/>
        </w:rPr>
      </w:pPr>
      <w:r w:rsidRPr="008A290A">
        <w:rPr>
          <w:sz w:val="24"/>
          <w:szCs w:val="24"/>
        </w:rPr>
        <w:t xml:space="preserve">Resettlement staff should send an </w:t>
      </w:r>
      <w:r w:rsidR="008A290A" w:rsidRPr="008A290A">
        <w:rPr>
          <w:sz w:val="24"/>
          <w:szCs w:val="24"/>
        </w:rPr>
        <w:t xml:space="preserve">encrypted </w:t>
      </w:r>
      <w:r w:rsidRPr="008A290A">
        <w:rPr>
          <w:sz w:val="24"/>
          <w:szCs w:val="24"/>
        </w:rPr>
        <w:t>email to:</w:t>
      </w:r>
      <w:r w:rsidR="008A290A">
        <w:rPr>
          <w:sz w:val="24"/>
          <w:szCs w:val="24"/>
        </w:rPr>
        <w:t xml:space="preserve"> APA_walkins@usccb.org</w:t>
      </w:r>
      <w:r w:rsidR="008A290A" w:rsidRPr="008A290A">
        <w:rPr>
          <w:sz w:val="24"/>
          <w:szCs w:val="24"/>
        </w:rPr>
        <w:t xml:space="preserve"> </w:t>
      </w:r>
    </w:p>
    <w:p w14:paraId="71549089" w14:textId="60CAAD8D" w:rsidR="00C6323F" w:rsidRPr="00C6323F" w:rsidRDefault="00C6323F">
      <w:pPr>
        <w:rPr>
          <w:b/>
          <w:bCs/>
          <w:color w:val="008061"/>
          <w:sz w:val="24"/>
          <w:szCs w:val="24"/>
          <w:u w:val="single"/>
        </w:rPr>
      </w:pPr>
      <w:bookmarkStart w:id="0" w:name="_Hlk86230647"/>
      <w:r w:rsidRPr="00C6323F">
        <w:rPr>
          <w:b/>
          <w:bCs/>
          <w:color w:val="008061"/>
          <w:sz w:val="24"/>
          <w:szCs w:val="24"/>
          <w:u w:val="single"/>
        </w:rPr>
        <w:t>If you have the Hummingbird case number for the case – the email should include:</w:t>
      </w:r>
    </w:p>
    <w:p w14:paraId="30EF260A" w14:textId="5C26977A" w:rsidR="00CA2521" w:rsidRDefault="00CA2521" w:rsidP="00C6323F">
      <w:pPr>
        <w:pStyle w:val="ListParagraph"/>
        <w:numPr>
          <w:ilvl w:val="0"/>
          <w:numId w:val="3"/>
        </w:numPr>
        <w:rPr>
          <w:sz w:val="24"/>
          <w:szCs w:val="24"/>
        </w:rPr>
      </w:pPr>
      <w:r>
        <w:rPr>
          <w:sz w:val="24"/>
          <w:szCs w:val="24"/>
        </w:rPr>
        <w:t>Affiliate name/city/WRAPS code (e.g., USCCB, Washington DC, DCUSCC08)</w:t>
      </w:r>
    </w:p>
    <w:p w14:paraId="5DF73342" w14:textId="6DBF0DB6" w:rsidR="00C6323F" w:rsidRDefault="00C6323F" w:rsidP="00C6323F">
      <w:pPr>
        <w:pStyle w:val="ListParagraph"/>
        <w:numPr>
          <w:ilvl w:val="0"/>
          <w:numId w:val="3"/>
        </w:numPr>
        <w:rPr>
          <w:sz w:val="24"/>
          <w:szCs w:val="24"/>
        </w:rPr>
      </w:pPr>
      <w:r w:rsidRPr="00C6323F">
        <w:rPr>
          <w:sz w:val="24"/>
          <w:szCs w:val="24"/>
        </w:rPr>
        <w:t>The Hummingbird Case Number</w:t>
      </w:r>
    </w:p>
    <w:p w14:paraId="557DFA60" w14:textId="4DF7BE01" w:rsidR="00CA2521" w:rsidRDefault="00CA2521" w:rsidP="00C6323F">
      <w:pPr>
        <w:pStyle w:val="ListParagraph"/>
        <w:numPr>
          <w:ilvl w:val="0"/>
          <w:numId w:val="3"/>
        </w:numPr>
        <w:rPr>
          <w:sz w:val="24"/>
          <w:szCs w:val="24"/>
        </w:rPr>
      </w:pPr>
      <w:r>
        <w:rPr>
          <w:sz w:val="24"/>
          <w:szCs w:val="24"/>
        </w:rPr>
        <w:t>Case Size</w:t>
      </w:r>
    </w:p>
    <w:p w14:paraId="560768CD" w14:textId="69A20860" w:rsidR="00C6323F" w:rsidRDefault="00C6323F" w:rsidP="00C6323F">
      <w:pPr>
        <w:pStyle w:val="ListParagraph"/>
        <w:numPr>
          <w:ilvl w:val="0"/>
          <w:numId w:val="3"/>
        </w:numPr>
        <w:rPr>
          <w:sz w:val="24"/>
          <w:szCs w:val="24"/>
        </w:rPr>
      </w:pPr>
      <w:r w:rsidRPr="00C6323F">
        <w:rPr>
          <w:sz w:val="24"/>
          <w:szCs w:val="24"/>
        </w:rPr>
        <w:t xml:space="preserve">The names of each client on the case (First Name Last Name) </w:t>
      </w:r>
      <w:r>
        <w:rPr>
          <w:sz w:val="24"/>
          <w:szCs w:val="24"/>
        </w:rPr>
        <w:t>–</w:t>
      </w:r>
      <w:r w:rsidRPr="00C6323F">
        <w:rPr>
          <w:sz w:val="24"/>
          <w:szCs w:val="24"/>
        </w:rPr>
        <w:t xml:space="preserve"> </w:t>
      </w:r>
    </w:p>
    <w:p w14:paraId="4DF61E20" w14:textId="7EDBF94B" w:rsidR="00F847DF" w:rsidRPr="00F847DF" w:rsidRDefault="00F847DF" w:rsidP="00C6323F">
      <w:pPr>
        <w:pStyle w:val="ListParagraph"/>
        <w:numPr>
          <w:ilvl w:val="0"/>
          <w:numId w:val="3"/>
        </w:numPr>
        <w:rPr>
          <w:i/>
          <w:iCs/>
          <w:color w:val="FF0000"/>
          <w:sz w:val="24"/>
          <w:szCs w:val="24"/>
        </w:rPr>
      </w:pPr>
      <w:r w:rsidRPr="00F847DF">
        <w:rPr>
          <w:i/>
          <w:iCs/>
          <w:color w:val="FF0000"/>
          <w:sz w:val="24"/>
          <w:szCs w:val="24"/>
        </w:rPr>
        <w:t>If there is an attached parolee minor (APM) on the case, please highlight this in the email to USCCB.</w:t>
      </w:r>
    </w:p>
    <w:p w14:paraId="6693C9F3" w14:textId="50AB129E" w:rsidR="00C6323F" w:rsidRPr="00C6323F" w:rsidRDefault="00C6323F" w:rsidP="00C6323F">
      <w:pPr>
        <w:pStyle w:val="ListParagraph"/>
        <w:numPr>
          <w:ilvl w:val="0"/>
          <w:numId w:val="3"/>
        </w:numPr>
        <w:rPr>
          <w:sz w:val="24"/>
          <w:szCs w:val="24"/>
        </w:rPr>
      </w:pPr>
      <w:r>
        <w:rPr>
          <w:sz w:val="24"/>
          <w:szCs w:val="24"/>
        </w:rPr>
        <w:t xml:space="preserve">Attach legible copies of all members’ I-94 documents </w:t>
      </w:r>
      <w:r w:rsidRPr="00C6323F">
        <w:rPr>
          <w:i/>
          <w:iCs/>
          <w:sz w:val="24"/>
          <w:szCs w:val="24"/>
        </w:rPr>
        <w:t>(or other identity documentation confirming APA eligibility, if I-94s are not available)</w:t>
      </w:r>
    </w:p>
    <w:p w14:paraId="2B9065AE" w14:textId="77777777" w:rsidR="00C6323F" w:rsidRDefault="00C6323F">
      <w:pPr>
        <w:rPr>
          <w:sz w:val="24"/>
          <w:szCs w:val="24"/>
        </w:rPr>
      </w:pPr>
    </w:p>
    <w:p w14:paraId="494BE810" w14:textId="6F7661BC" w:rsidR="00C6323F" w:rsidRDefault="00C6323F">
      <w:pPr>
        <w:rPr>
          <w:sz w:val="24"/>
          <w:szCs w:val="24"/>
        </w:rPr>
      </w:pPr>
      <w:r>
        <w:rPr>
          <w:sz w:val="24"/>
          <w:szCs w:val="24"/>
        </w:rPr>
        <w:t>Example:</w:t>
      </w:r>
      <w:r>
        <w:rPr>
          <w:sz w:val="24"/>
          <w:szCs w:val="24"/>
        </w:rPr>
        <w:tab/>
        <w:t>HB-1234567</w:t>
      </w:r>
    </w:p>
    <w:p w14:paraId="2B7B25AB" w14:textId="1636A45B" w:rsidR="00C6323F" w:rsidRDefault="00C6323F">
      <w:pPr>
        <w:rPr>
          <w:sz w:val="24"/>
          <w:szCs w:val="24"/>
        </w:rPr>
      </w:pPr>
      <w:r>
        <w:rPr>
          <w:sz w:val="24"/>
          <w:szCs w:val="24"/>
        </w:rPr>
        <w:tab/>
      </w:r>
      <w:r>
        <w:rPr>
          <w:sz w:val="24"/>
          <w:szCs w:val="24"/>
        </w:rPr>
        <w:tab/>
        <w:t>1. Ahmad Zain</w:t>
      </w:r>
    </w:p>
    <w:p w14:paraId="4E558ED4" w14:textId="7CF0F9F2" w:rsidR="00C6323F" w:rsidRDefault="00C6323F">
      <w:pPr>
        <w:rPr>
          <w:sz w:val="24"/>
          <w:szCs w:val="24"/>
        </w:rPr>
      </w:pPr>
      <w:r>
        <w:rPr>
          <w:sz w:val="24"/>
          <w:szCs w:val="24"/>
        </w:rPr>
        <w:tab/>
      </w:r>
      <w:r>
        <w:rPr>
          <w:sz w:val="24"/>
          <w:szCs w:val="24"/>
        </w:rPr>
        <w:tab/>
        <w:t>2. Bibi Hussain</w:t>
      </w:r>
    </w:p>
    <w:p w14:paraId="7B48361C" w14:textId="38F2D772" w:rsidR="00C6323F" w:rsidRDefault="00C6323F">
      <w:pPr>
        <w:rPr>
          <w:sz w:val="24"/>
          <w:szCs w:val="24"/>
        </w:rPr>
      </w:pPr>
    </w:p>
    <w:p w14:paraId="573FFA11" w14:textId="4C694D38" w:rsidR="00CA2521" w:rsidRDefault="00CA2521">
      <w:pPr>
        <w:rPr>
          <w:sz w:val="24"/>
          <w:szCs w:val="24"/>
        </w:rPr>
      </w:pPr>
    </w:p>
    <w:p w14:paraId="539FAAD2" w14:textId="278A8CFB" w:rsidR="00C6323F" w:rsidRPr="00C6323F" w:rsidRDefault="00C6323F">
      <w:pPr>
        <w:rPr>
          <w:b/>
          <w:bCs/>
          <w:color w:val="FF0000"/>
          <w:sz w:val="24"/>
          <w:szCs w:val="24"/>
          <w:u w:val="single"/>
        </w:rPr>
      </w:pPr>
      <w:r w:rsidRPr="00C6323F">
        <w:rPr>
          <w:b/>
          <w:bCs/>
          <w:color w:val="FF0000"/>
          <w:sz w:val="24"/>
          <w:szCs w:val="24"/>
          <w:u w:val="single"/>
        </w:rPr>
        <w:lastRenderedPageBreak/>
        <w:t xml:space="preserve">If you do NOT have the Hummingbird case number for the case – you should include the following information </w:t>
      </w:r>
      <w:r>
        <w:rPr>
          <w:b/>
          <w:bCs/>
          <w:color w:val="FF0000"/>
          <w:sz w:val="24"/>
          <w:szCs w:val="24"/>
          <w:u w:val="single"/>
        </w:rPr>
        <w:t>*</w:t>
      </w:r>
      <w:r w:rsidRPr="00C6323F">
        <w:rPr>
          <w:b/>
          <w:bCs/>
          <w:color w:val="FF0000"/>
          <w:sz w:val="24"/>
          <w:szCs w:val="24"/>
          <w:u w:val="single"/>
        </w:rPr>
        <w:t>for each member of the case</w:t>
      </w:r>
      <w:r>
        <w:rPr>
          <w:b/>
          <w:bCs/>
          <w:color w:val="FF0000"/>
          <w:sz w:val="24"/>
          <w:szCs w:val="24"/>
          <w:u w:val="single"/>
        </w:rPr>
        <w:t>*</w:t>
      </w:r>
      <w:r w:rsidRPr="00C6323F">
        <w:rPr>
          <w:b/>
          <w:bCs/>
          <w:color w:val="FF0000"/>
          <w:sz w:val="24"/>
          <w:szCs w:val="24"/>
          <w:u w:val="single"/>
        </w:rPr>
        <w:t>:</w:t>
      </w:r>
    </w:p>
    <w:p w14:paraId="2682496A" w14:textId="38B4C15A" w:rsidR="00D35F33" w:rsidRDefault="00D35F33" w:rsidP="00C6323F">
      <w:pPr>
        <w:pStyle w:val="paragraph"/>
        <w:numPr>
          <w:ilvl w:val="0"/>
          <w:numId w:val="2"/>
        </w:numPr>
        <w:spacing w:before="0" w:beforeAutospacing="0" w:after="0" w:afterAutospacing="0"/>
        <w:ind w:left="1080" w:firstLine="0"/>
        <w:textAlignment w:val="baseline"/>
        <w:rPr>
          <w:rStyle w:val="normaltextrun"/>
          <w:rFonts w:asciiTheme="minorHAnsi" w:eastAsiaTheme="minorEastAsia" w:hAnsiTheme="minorHAnsi" w:cstheme="minorBidi"/>
          <w:color w:val="000000"/>
          <w:sz w:val="22"/>
          <w:szCs w:val="22"/>
        </w:rPr>
      </w:pPr>
      <w:r>
        <w:rPr>
          <w:rStyle w:val="normaltextrun"/>
          <w:rFonts w:asciiTheme="minorHAnsi" w:eastAsiaTheme="minorEastAsia" w:hAnsiTheme="minorHAnsi" w:cstheme="minorBidi"/>
          <w:color w:val="000000"/>
          <w:sz w:val="22"/>
          <w:szCs w:val="22"/>
        </w:rPr>
        <w:t>Hummingbird Case Number: (Missing, N/A)</w:t>
      </w:r>
    </w:p>
    <w:p w14:paraId="4112E279" w14:textId="1CBDD075" w:rsidR="00CA2521" w:rsidRPr="00CA2521" w:rsidRDefault="00CA2521" w:rsidP="00CA2521">
      <w:pPr>
        <w:pStyle w:val="ListParagraph"/>
        <w:numPr>
          <w:ilvl w:val="2"/>
          <w:numId w:val="2"/>
        </w:numPr>
        <w:rPr>
          <w:rStyle w:val="normaltextrun"/>
          <w:sz w:val="24"/>
          <w:szCs w:val="24"/>
        </w:rPr>
      </w:pPr>
      <w:r>
        <w:rPr>
          <w:sz w:val="24"/>
          <w:szCs w:val="24"/>
        </w:rPr>
        <w:t>Affiliate name/city/WRAPS code (e.g., USCCB, Washington DC, DCUSCC08)</w:t>
      </w:r>
    </w:p>
    <w:p w14:paraId="45E649F9" w14:textId="34411D6E" w:rsidR="00D35F33" w:rsidRPr="00D35F33" w:rsidRDefault="00D35F33" w:rsidP="00C6323F">
      <w:pPr>
        <w:pStyle w:val="paragraph"/>
        <w:numPr>
          <w:ilvl w:val="0"/>
          <w:numId w:val="2"/>
        </w:numPr>
        <w:spacing w:before="0" w:beforeAutospacing="0" w:after="0" w:afterAutospacing="0"/>
        <w:ind w:left="1080" w:firstLine="0"/>
        <w:textAlignment w:val="baseline"/>
        <w:rPr>
          <w:rStyle w:val="normaltextrun"/>
          <w:rFonts w:asciiTheme="minorHAnsi" w:eastAsiaTheme="minorEastAsia" w:hAnsiTheme="minorHAnsi" w:cstheme="minorBidi"/>
          <w:color w:val="000000"/>
          <w:sz w:val="22"/>
          <w:szCs w:val="22"/>
        </w:rPr>
      </w:pPr>
      <w:r>
        <w:rPr>
          <w:rStyle w:val="normaltextrun"/>
          <w:rFonts w:asciiTheme="minorHAnsi" w:eastAsiaTheme="minorEastAsia" w:hAnsiTheme="minorHAnsi" w:cstheme="minorBidi"/>
          <w:color w:val="000000"/>
          <w:sz w:val="22"/>
          <w:szCs w:val="22"/>
        </w:rPr>
        <w:t>Case Size</w:t>
      </w:r>
    </w:p>
    <w:p w14:paraId="0EE01A83" w14:textId="48E2F538" w:rsidR="00C6323F" w:rsidRDefault="00C6323F" w:rsidP="00C6323F">
      <w:pPr>
        <w:pStyle w:val="paragraph"/>
        <w:numPr>
          <w:ilvl w:val="0"/>
          <w:numId w:val="2"/>
        </w:numPr>
        <w:spacing w:before="0" w:beforeAutospacing="0" w:after="0" w:afterAutospacing="0"/>
        <w:ind w:left="1080" w:firstLine="0"/>
        <w:textAlignment w:val="baseline"/>
        <w:rPr>
          <w:rFonts w:asciiTheme="minorHAnsi" w:eastAsiaTheme="minorEastAsia" w:hAnsiTheme="minorHAnsi" w:cstheme="minorBidi"/>
          <w:color w:val="000000"/>
          <w:sz w:val="22"/>
          <w:szCs w:val="22"/>
        </w:rPr>
      </w:pPr>
      <w:r>
        <w:rPr>
          <w:rStyle w:val="normaltextrun"/>
          <w:rFonts w:asciiTheme="minorHAnsi" w:eastAsiaTheme="minorEastAsia" w:hAnsiTheme="minorHAnsi" w:cstheme="minorBidi"/>
          <w:color w:val="000000" w:themeColor="text1"/>
          <w:sz w:val="22"/>
          <w:szCs w:val="22"/>
        </w:rPr>
        <w:t>F</w:t>
      </w:r>
      <w:r w:rsidRPr="0FFD6E89">
        <w:rPr>
          <w:rStyle w:val="normaltextrun"/>
          <w:rFonts w:asciiTheme="minorHAnsi" w:eastAsiaTheme="minorEastAsia" w:hAnsiTheme="minorHAnsi" w:cstheme="minorBidi"/>
          <w:color w:val="000000" w:themeColor="text1"/>
          <w:sz w:val="22"/>
          <w:szCs w:val="22"/>
        </w:rPr>
        <w:t xml:space="preserve">irst </w:t>
      </w:r>
      <w:r>
        <w:rPr>
          <w:rStyle w:val="normaltextrun"/>
          <w:rFonts w:asciiTheme="minorHAnsi" w:eastAsiaTheme="minorEastAsia" w:hAnsiTheme="minorHAnsi" w:cstheme="minorBidi"/>
          <w:color w:val="000000" w:themeColor="text1"/>
          <w:sz w:val="22"/>
          <w:szCs w:val="22"/>
        </w:rPr>
        <w:t xml:space="preserve">name </w:t>
      </w:r>
      <w:r w:rsidRPr="0FFD6E89">
        <w:rPr>
          <w:rStyle w:val="normaltextrun"/>
          <w:rFonts w:asciiTheme="minorHAnsi" w:eastAsiaTheme="minorEastAsia" w:hAnsiTheme="minorHAnsi" w:cstheme="minorBidi"/>
          <w:color w:val="000000" w:themeColor="text1"/>
          <w:sz w:val="22"/>
          <w:szCs w:val="22"/>
        </w:rPr>
        <w:t xml:space="preserve">and </w:t>
      </w:r>
      <w:r>
        <w:rPr>
          <w:rStyle w:val="normaltextrun"/>
          <w:rFonts w:asciiTheme="minorHAnsi" w:eastAsiaTheme="minorEastAsia" w:hAnsiTheme="minorHAnsi" w:cstheme="minorBidi"/>
          <w:color w:val="000000" w:themeColor="text1"/>
          <w:sz w:val="22"/>
          <w:szCs w:val="22"/>
        </w:rPr>
        <w:t>L</w:t>
      </w:r>
      <w:r w:rsidRPr="0FFD6E89">
        <w:rPr>
          <w:rStyle w:val="normaltextrun"/>
          <w:rFonts w:asciiTheme="minorHAnsi" w:eastAsiaTheme="minorEastAsia" w:hAnsiTheme="minorHAnsi" w:cstheme="minorBidi"/>
          <w:color w:val="000000" w:themeColor="text1"/>
          <w:sz w:val="22"/>
          <w:szCs w:val="22"/>
        </w:rPr>
        <w:t>ast</w:t>
      </w:r>
      <w:r>
        <w:rPr>
          <w:rStyle w:val="normaltextrun"/>
          <w:rFonts w:asciiTheme="minorHAnsi" w:eastAsiaTheme="minorEastAsia" w:hAnsiTheme="minorHAnsi" w:cstheme="minorBidi"/>
          <w:color w:val="000000" w:themeColor="text1"/>
          <w:sz w:val="22"/>
          <w:szCs w:val="22"/>
        </w:rPr>
        <w:t xml:space="preserve"> name</w:t>
      </w:r>
      <w:r w:rsidRPr="0FFD6E89">
        <w:rPr>
          <w:rStyle w:val="normaltextrun"/>
          <w:rFonts w:asciiTheme="minorHAnsi" w:eastAsiaTheme="minorEastAsia" w:hAnsiTheme="minorHAnsi" w:cstheme="minorBidi"/>
          <w:color w:val="000000" w:themeColor="text1"/>
          <w:sz w:val="22"/>
          <w:szCs w:val="22"/>
        </w:rPr>
        <w:t xml:space="preserve"> in that order</w:t>
      </w:r>
      <w:r w:rsidRPr="0FFD6E89">
        <w:rPr>
          <w:rStyle w:val="eop"/>
          <w:rFonts w:asciiTheme="minorHAnsi" w:eastAsiaTheme="minorEastAsia" w:hAnsiTheme="minorHAnsi" w:cstheme="minorBidi"/>
          <w:color w:val="000000" w:themeColor="text1"/>
          <w:sz w:val="22"/>
          <w:szCs w:val="22"/>
        </w:rPr>
        <w:t> </w:t>
      </w:r>
      <w:r w:rsidRPr="004541BE">
        <w:rPr>
          <w:rStyle w:val="eop"/>
          <w:rFonts w:asciiTheme="minorHAnsi" w:eastAsiaTheme="minorEastAsia" w:hAnsiTheme="minorHAnsi" w:cstheme="minorBidi"/>
          <w:b/>
          <w:bCs/>
          <w:color w:val="000000" w:themeColor="text1"/>
          <w:sz w:val="22"/>
          <w:szCs w:val="22"/>
        </w:rPr>
        <w:t>(no commas)</w:t>
      </w:r>
    </w:p>
    <w:p w14:paraId="4665D96C" w14:textId="77777777" w:rsidR="00C6323F" w:rsidRDefault="00C6323F" w:rsidP="00C6323F">
      <w:pPr>
        <w:pStyle w:val="paragraph"/>
        <w:numPr>
          <w:ilvl w:val="0"/>
          <w:numId w:val="2"/>
        </w:numPr>
        <w:spacing w:before="0" w:beforeAutospacing="0" w:after="0" w:afterAutospacing="0"/>
        <w:ind w:left="1080" w:firstLine="0"/>
        <w:textAlignment w:val="baseline"/>
        <w:rPr>
          <w:rFonts w:asciiTheme="minorHAnsi" w:eastAsiaTheme="minorEastAsia" w:hAnsiTheme="minorHAnsi" w:cstheme="minorBidi"/>
          <w:color w:val="000000"/>
          <w:sz w:val="22"/>
          <w:szCs w:val="22"/>
        </w:rPr>
      </w:pPr>
      <w:r w:rsidRPr="0FFD6E89">
        <w:rPr>
          <w:rStyle w:val="normaltextrun"/>
          <w:rFonts w:asciiTheme="minorHAnsi" w:eastAsiaTheme="minorEastAsia" w:hAnsiTheme="minorHAnsi" w:cstheme="minorBidi"/>
          <w:color w:val="000000" w:themeColor="text1"/>
          <w:sz w:val="22"/>
          <w:szCs w:val="22"/>
        </w:rPr>
        <w:t>Date of birth</w:t>
      </w:r>
      <w:r w:rsidRPr="0FFD6E89">
        <w:rPr>
          <w:rStyle w:val="eop"/>
          <w:rFonts w:asciiTheme="minorHAnsi" w:eastAsiaTheme="minorEastAsia" w:hAnsiTheme="minorHAnsi" w:cstheme="minorBidi"/>
          <w:color w:val="000000" w:themeColor="text1"/>
          <w:sz w:val="22"/>
          <w:szCs w:val="22"/>
        </w:rPr>
        <w:t> </w:t>
      </w:r>
    </w:p>
    <w:p w14:paraId="791017DC" w14:textId="3BEAE2EB" w:rsidR="00D35F33" w:rsidRDefault="00D35F33" w:rsidP="00C6323F">
      <w:pPr>
        <w:pStyle w:val="paragraph"/>
        <w:numPr>
          <w:ilvl w:val="0"/>
          <w:numId w:val="2"/>
        </w:numPr>
        <w:spacing w:before="0" w:beforeAutospacing="0" w:after="0" w:afterAutospacing="0"/>
        <w:ind w:left="1080" w:firstLine="0"/>
        <w:textAlignment w:val="baseline"/>
        <w:rPr>
          <w:rStyle w:val="normaltextrun"/>
          <w:rFonts w:asciiTheme="minorHAnsi" w:eastAsiaTheme="minorEastAsia" w:hAnsiTheme="minorHAnsi" w:cstheme="minorBidi"/>
          <w:color w:val="000000"/>
        </w:rPr>
      </w:pPr>
      <w:r>
        <w:rPr>
          <w:rStyle w:val="normaltextrun"/>
          <w:rFonts w:asciiTheme="minorHAnsi" w:eastAsiaTheme="minorEastAsia" w:hAnsiTheme="minorHAnsi" w:cstheme="minorBidi"/>
          <w:color w:val="000000"/>
        </w:rPr>
        <w:t>Date of Entry</w:t>
      </w:r>
    </w:p>
    <w:p w14:paraId="3D10273D" w14:textId="37934123" w:rsidR="00D35F33" w:rsidRPr="00D35F33" w:rsidRDefault="00D35F33" w:rsidP="00C6323F">
      <w:pPr>
        <w:pStyle w:val="paragraph"/>
        <w:numPr>
          <w:ilvl w:val="0"/>
          <w:numId w:val="2"/>
        </w:numPr>
        <w:spacing w:before="0" w:beforeAutospacing="0" w:after="0" w:afterAutospacing="0"/>
        <w:ind w:left="1080" w:firstLine="0"/>
        <w:textAlignment w:val="baseline"/>
        <w:rPr>
          <w:rStyle w:val="normaltextrun"/>
          <w:rFonts w:asciiTheme="minorHAnsi" w:eastAsiaTheme="minorEastAsia" w:hAnsiTheme="minorHAnsi" w:cstheme="minorBidi"/>
          <w:color w:val="000000"/>
        </w:rPr>
      </w:pPr>
      <w:r>
        <w:rPr>
          <w:rStyle w:val="normaltextrun"/>
          <w:rFonts w:asciiTheme="minorHAnsi" w:eastAsiaTheme="minorEastAsia" w:hAnsiTheme="minorHAnsi" w:cstheme="minorBidi"/>
          <w:color w:val="000000"/>
        </w:rPr>
        <w:t>Port of Entry</w:t>
      </w:r>
    </w:p>
    <w:p w14:paraId="4C52E92A" w14:textId="71B2F28E" w:rsidR="00C6323F" w:rsidRDefault="00C6323F" w:rsidP="00C6323F">
      <w:pPr>
        <w:pStyle w:val="paragraph"/>
        <w:numPr>
          <w:ilvl w:val="0"/>
          <w:numId w:val="2"/>
        </w:numPr>
        <w:spacing w:before="0" w:beforeAutospacing="0" w:after="0" w:afterAutospacing="0"/>
        <w:ind w:left="1080" w:firstLine="0"/>
        <w:textAlignment w:val="baseline"/>
        <w:rPr>
          <w:rStyle w:val="normaltextrun"/>
          <w:rFonts w:asciiTheme="minorHAnsi" w:eastAsiaTheme="minorEastAsia" w:hAnsiTheme="minorHAnsi" w:cstheme="minorBidi"/>
          <w:color w:val="000000"/>
        </w:rPr>
      </w:pPr>
      <w:r>
        <w:rPr>
          <w:rStyle w:val="normaltextrun"/>
          <w:rFonts w:asciiTheme="minorHAnsi" w:eastAsiaTheme="minorEastAsia" w:hAnsiTheme="minorHAnsi" w:cstheme="minorBidi"/>
          <w:color w:val="000000" w:themeColor="text1"/>
          <w:sz w:val="22"/>
          <w:szCs w:val="22"/>
        </w:rPr>
        <w:t>I</w:t>
      </w:r>
      <w:r w:rsidRPr="0FFD6E89">
        <w:rPr>
          <w:rStyle w:val="normaltextrun"/>
          <w:rFonts w:asciiTheme="minorHAnsi" w:eastAsiaTheme="minorEastAsia" w:hAnsiTheme="minorHAnsi" w:cstheme="minorBidi"/>
          <w:color w:val="000000" w:themeColor="text1"/>
          <w:sz w:val="22"/>
          <w:szCs w:val="22"/>
        </w:rPr>
        <w:t>dentifying document numbers: A#</w:t>
      </w:r>
      <w:r>
        <w:rPr>
          <w:rStyle w:val="normaltextrun"/>
          <w:rFonts w:asciiTheme="minorHAnsi" w:eastAsiaTheme="minorEastAsia" w:hAnsiTheme="minorHAnsi" w:cstheme="minorBidi"/>
          <w:color w:val="000000" w:themeColor="text1"/>
          <w:sz w:val="22"/>
          <w:szCs w:val="22"/>
        </w:rPr>
        <w:t xml:space="preserve"> and/or</w:t>
      </w:r>
      <w:r w:rsidRPr="0FFD6E89">
        <w:rPr>
          <w:rStyle w:val="normaltextrun"/>
          <w:rFonts w:asciiTheme="minorHAnsi" w:eastAsiaTheme="minorEastAsia" w:hAnsiTheme="minorHAnsi" w:cstheme="minorBidi"/>
          <w:color w:val="000000" w:themeColor="text1"/>
          <w:sz w:val="22"/>
          <w:szCs w:val="22"/>
        </w:rPr>
        <w:t xml:space="preserve"> passport number</w:t>
      </w:r>
      <w:r>
        <w:rPr>
          <w:rStyle w:val="normaltextrun"/>
          <w:rFonts w:asciiTheme="minorHAnsi" w:eastAsiaTheme="minorEastAsia" w:hAnsiTheme="minorHAnsi" w:cstheme="minorBidi"/>
          <w:color w:val="000000" w:themeColor="text1"/>
          <w:sz w:val="22"/>
          <w:szCs w:val="22"/>
        </w:rPr>
        <w:t xml:space="preserve"> (</w:t>
      </w:r>
      <w:proofErr w:type="spellStart"/>
      <w:r>
        <w:rPr>
          <w:rStyle w:val="normaltextrun"/>
          <w:rFonts w:asciiTheme="minorHAnsi" w:eastAsiaTheme="minorEastAsia" w:hAnsiTheme="minorHAnsi" w:cstheme="minorBidi"/>
          <w:color w:val="000000" w:themeColor="text1"/>
          <w:sz w:val="22"/>
          <w:szCs w:val="22"/>
        </w:rPr>
        <w:t>Tazkirah</w:t>
      </w:r>
      <w:proofErr w:type="spellEnd"/>
      <w:r>
        <w:rPr>
          <w:rStyle w:val="normaltextrun"/>
          <w:rFonts w:asciiTheme="minorHAnsi" w:eastAsiaTheme="minorEastAsia" w:hAnsiTheme="minorHAnsi" w:cstheme="minorBidi"/>
          <w:color w:val="000000" w:themeColor="text1"/>
          <w:sz w:val="22"/>
          <w:szCs w:val="22"/>
        </w:rPr>
        <w:t xml:space="preserve"> number only if there is no A# or passport number) </w:t>
      </w:r>
      <w:r w:rsidRPr="004541BE">
        <w:rPr>
          <w:rStyle w:val="normaltextrun"/>
          <w:rFonts w:asciiTheme="minorHAnsi" w:eastAsiaTheme="minorEastAsia" w:hAnsiTheme="minorHAnsi" w:cstheme="minorBidi"/>
          <w:b/>
          <w:bCs/>
          <w:color w:val="000000" w:themeColor="text1"/>
          <w:sz w:val="22"/>
          <w:szCs w:val="22"/>
        </w:rPr>
        <w:t>NOTE: the I-94 record number is not the A number</w:t>
      </w:r>
    </w:p>
    <w:p w14:paraId="1907346D" w14:textId="77777777" w:rsidR="00C6323F" w:rsidRPr="00C6323F" w:rsidRDefault="00C6323F" w:rsidP="00C6323F">
      <w:pPr>
        <w:pStyle w:val="paragraph"/>
        <w:numPr>
          <w:ilvl w:val="0"/>
          <w:numId w:val="2"/>
        </w:numPr>
        <w:spacing w:before="0" w:beforeAutospacing="0" w:after="0" w:afterAutospacing="0"/>
        <w:ind w:left="1080" w:firstLine="0"/>
        <w:textAlignment w:val="baseline"/>
        <w:rPr>
          <w:rStyle w:val="eop"/>
          <w:rFonts w:asciiTheme="minorHAnsi" w:eastAsiaTheme="minorEastAsia" w:hAnsiTheme="minorHAnsi" w:cstheme="minorBidi"/>
          <w:color w:val="000000"/>
          <w:sz w:val="22"/>
          <w:szCs w:val="22"/>
        </w:rPr>
      </w:pPr>
      <w:r w:rsidRPr="0FFD6E89">
        <w:rPr>
          <w:rStyle w:val="normaltextrun"/>
          <w:rFonts w:asciiTheme="minorHAnsi" w:eastAsiaTheme="minorEastAsia" w:hAnsiTheme="minorHAnsi" w:cstheme="minorBidi"/>
          <w:color w:val="000000" w:themeColor="text1"/>
          <w:sz w:val="22"/>
          <w:szCs w:val="22"/>
        </w:rPr>
        <w:t>If a family group, identify all members by full name and relationship to PA</w:t>
      </w:r>
      <w:r w:rsidRPr="0FFD6E89">
        <w:rPr>
          <w:rStyle w:val="eop"/>
          <w:rFonts w:asciiTheme="minorHAnsi" w:eastAsiaTheme="minorEastAsia" w:hAnsiTheme="minorHAnsi" w:cstheme="minorBidi"/>
          <w:color w:val="000000" w:themeColor="text1"/>
          <w:sz w:val="22"/>
          <w:szCs w:val="22"/>
        </w:rPr>
        <w:t> </w:t>
      </w:r>
    </w:p>
    <w:p w14:paraId="1889112E" w14:textId="45B373B6" w:rsidR="00F847DF" w:rsidRPr="00F847DF" w:rsidRDefault="00F847DF" w:rsidP="00F847DF">
      <w:pPr>
        <w:pStyle w:val="ListParagraph"/>
        <w:numPr>
          <w:ilvl w:val="2"/>
          <w:numId w:val="2"/>
        </w:numPr>
        <w:rPr>
          <w:i/>
          <w:iCs/>
          <w:color w:val="FF0000"/>
          <w:sz w:val="24"/>
          <w:szCs w:val="24"/>
        </w:rPr>
      </w:pPr>
      <w:r w:rsidRPr="00F847DF">
        <w:rPr>
          <w:i/>
          <w:iCs/>
          <w:color w:val="FF0000"/>
          <w:sz w:val="24"/>
          <w:szCs w:val="24"/>
        </w:rPr>
        <w:t>If there is an attached parolee minor (APM) on the case, please highlight this in the email to USCCB.</w:t>
      </w:r>
    </w:p>
    <w:p w14:paraId="4472F790" w14:textId="105E9BBB" w:rsidR="00C6323F" w:rsidRPr="00C6323F" w:rsidRDefault="00C6323F" w:rsidP="00C6323F">
      <w:pPr>
        <w:pStyle w:val="ListParagraph"/>
        <w:numPr>
          <w:ilvl w:val="2"/>
          <w:numId w:val="2"/>
        </w:numPr>
        <w:rPr>
          <w:sz w:val="24"/>
          <w:szCs w:val="24"/>
        </w:rPr>
      </w:pPr>
      <w:r>
        <w:rPr>
          <w:sz w:val="24"/>
          <w:szCs w:val="24"/>
        </w:rPr>
        <w:t xml:space="preserve">Attach legible copies of all members’ I-94 documents </w:t>
      </w:r>
      <w:r w:rsidRPr="00C6323F">
        <w:rPr>
          <w:i/>
          <w:iCs/>
          <w:sz w:val="24"/>
          <w:szCs w:val="24"/>
        </w:rPr>
        <w:t>(or other identity documentation confirming APA eligibility, if I-94s are not available)</w:t>
      </w:r>
    </w:p>
    <w:bookmarkEnd w:id="0"/>
    <w:p w14:paraId="62DB3074" w14:textId="23C40C8F" w:rsidR="001A1731" w:rsidRPr="008A290A" w:rsidRDefault="001A1731">
      <w:pPr>
        <w:rPr>
          <w:sz w:val="24"/>
          <w:szCs w:val="24"/>
        </w:rPr>
      </w:pPr>
      <w:r w:rsidRPr="008A290A">
        <w:rPr>
          <w:sz w:val="24"/>
          <w:szCs w:val="24"/>
        </w:rPr>
        <w:t>Documentation that the individual was granted parole is indicated on the I-94 by the class of admission OAR and is valid for two years. Some parolees who arrived after August 20</w:t>
      </w:r>
      <w:r w:rsidR="008A290A" w:rsidRPr="008A290A">
        <w:rPr>
          <w:sz w:val="24"/>
          <w:szCs w:val="24"/>
          <w:vertAlign w:val="superscript"/>
        </w:rPr>
        <w:t>th</w:t>
      </w:r>
      <w:r w:rsidRPr="008A290A">
        <w:rPr>
          <w:sz w:val="24"/>
          <w:szCs w:val="24"/>
        </w:rPr>
        <w:t xml:space="preserve">, </w:t>
      </w:r>
      <w:proofErr w:type="gramStart"/>
      <w:r w:rsidRPr="008A290A">
        <w:rPr>
          <w:sz w:val="24"/>
          <w:szCs w:val="24"/>
        </w:rPr>
        <w:t>2021</w:t>
      </w:r>
      <w:proofErr w:type="gramEnd"/>
      <w:r w:rsidRPr="008A290A">
        <w:rPr>
          <w:sz w:val="24"/>
          <w:szCs w:val="24"/>
        </w:rPr>
        <w:t xml:space="preserve"> may also have a passport containing a CBP stamp with OAR written within it, a picture of which may also be submitted. </w:t>
      </w:r>
    </w:p>
    <w:p w14:paraId="6E97205E" w14:textId="57B26F83" w:rsidR="00F93B60" w:rsidRPr="008A290A" w:rsidRDefault="001A1731">
      <w:pPr>
        <w:rPr>
          <w:sz w:val="24"/>
          <w:szCs w:val="24"/>
        </w:rPr>
      </w:pPr>
      <w:r w:rsidRPr="008A290A">
        <w:rPr>
          <w:sz w:val="24"/>
          <w:szCs w:val="24"/>
        </w:rPr>
        <w:t>If the individual does not have a paper copy of their I-94, an electronic copy may be accessed online. If the individual does not have a passport, they may be able to access their I-94 by using their alien registration number or wristband</w:t>
      </w:r>
      <w:r w:rsidR="00F93B60" w:rsidRPr="008A290A">
        <w:rPr>
          <w:sz w:val="24"/>
          <w:szCs w:val="24"/>
        </w:rPr>
        <w:t xml:space="preserve"> number</w:t>
      </w:r>
      <w:r w:rsidR="008A290A">
        <w:rPr>
          <w:sz w:val="24"/>
          <w:szCs w:val="24"/>
        </w:rPr>
        <w:t xml:space="preserve"> </w:t>
      </w:r>
      <w:r w:rsidR="00F93B60" w:rsidRPr="008A290A">
        <w:rPr>
          <w:sz w:val="24"/>
          <w:szCs w:val="24"/>
        </w:rPr>
        <w:t xml:space="preserve">in the passport number field. Instructions on accessing and printing the I-94 can be found here: </w:t>
      </w:r>
      <w:hyperlink r:id="rId9" w:history="1">
        <w:r w:rsidR="00F93B60" w:rsidRPr="008A290A">
          <w:rPr>
            <w:rStyle w:val="Hyperlink"/>
            <w:sz w:val="24"/>
            <w:szCs w:val="24"/>
          </w:rPr>
          <w:t>https://i94.cbp.dhs.gov/I94</w:t>
        </w:r>
      </w:hyperlink>
    </w:p>
    <w:p w14:paraId="6207AC2F" w14:textId="0884069C" w:rsidR="00F93B60" w:rsidRPr="008A290A" w:rsidRDefault="00F93B60">
      <w:pPr>
        <w:rPr>
          <w:sz w:val="24"/>
          <w:szCs w:val="24"/>
        </w:rPr>
      </w:pPr>
      <w:r w:rsidRPr="008A290A">
        <w:rPr>
          <w:sz w:val="24"/>
          <w:szCs w:val="24"/>
        </w:rPr>
        <w:t xml:space="preserve">Note also that individuals processed at a Safe Haven may have a paper copy of their SF-600, which contains an A number at the top, although this is not always provided. </w:t>
      </w:r>
    </w:p>
    <w:p w14:paraId="4BFE44FF" w14:textId="498DFDBC" w:rsidR="00F93B60" w:rsidRPr="008A290A" w:rsidRDefault="00F93B60">
      <w:pPr>
        <w:rPr>
          <w:sz w:val="24"/>
          <w:szCs w:val="24"/>
        </w:rPr>
      </w:pPr>
      <w:r w:rsidRPr="008A290A">
        <w:rPr>
          <w:sz w:val="24"/>
          <w:szCs w:val="24"/>
        </w:rPr>
        <w:t xml:space="preserve">In heavily impacted locations where individual communications with applicants may </w:t>
      </w:r>
      <w:r w:rsidR="008A290A">
        <w:rPr>
          <w:sz w:val="24"/>
          <w:szCs w:val="24"/>
        </w:rPr>
        <w:t>b</w:t>
      </w:r>
      <w:r w:rsidRPr="008A290A">
        <w:rPr>
          <w:sz w:val="24"/>
          <w:szCs w:val="24"/>
        </w:rPr>
        <w:t>e constrained</w:t>
      </w:r>
      <w:r w:rsidR="00CE3323" w:rsidRPr="008A290A">
        <w:rPr>
          <w:sz w:val="24"/>
          <w:szCs w:val="24"/>
        </w:rPr>
        <w:t>, resettlement agency affiliates should identify a functional way to clearly communicate walk-in procedures. This may include posting information on a website and/or in a printed handout. Affiliates in such impacted locations may also consider coordinating set days and times to process walk-ins.</w:t>
      </w:r>
    </w:p>
    <w:p w14:paraId="3CF2E27E" w14:textId="516D0240" w:rsidR="00CE3323" w:rsidRPr="008A290A" w:rsidRDefault="00CE3323">
      <w:pPr>
        <w:rPr>
          <w:b/>
          <w:bCs/>
          <w:sz w:val="24"/>
          <w:szCs w:val="24"/>
          <w:u w:val="single"/>
        </w:rPr>
      </w:pPr>
      <w:r w:rsidRPr="008A290A">
        <w:rPr>
          <w:b/>
          <w:bCs/>
          <w:sz w:val="24"/>
          <w:szCs w:val="24"/>
          <w:u w:val="single"/>
        </w:rPr>
        <w:t>APA Service Period for Walk-Ins</w:t>
      </w:r>
    </w:p>
    <w:p w14:paraId="640C2DB1" w14:textId="2ED51BC6" w:rsidR="00B454FD" w:rsidRDefault="00CE3323">
      <w:pPr>
        <w:rPr>
          <w:sz w:val="24"/>
          <w:szCs w:val="24"/>
        </w:rPr>
      </w:pPr>
      <w:r w:rsidRPr="00D85A76">
        <w:rPr>
          <w:sz w:val="24"/>
          <w:szCs w:val="24"/>
          <w:highlight w:val="yellow"/>
        </w:rPr>
        <w:t xml:space="preserve">Normally, the APA service period begins the date of arrival at the final destination. For walk-in cases, the date of assurance </w:t>
      </w:r>
      <w:r w:rsidR="00D85A76" w:rsidRPr="00D85A76">
        <w:rPr>
          <w:sz w:val="24"/>
          <w:szCs w:val="24"/>
          <w:highlight w:val="yellow"/>
        </w:rPr>
        <w:t xml:space="preserve">(approval by PRM for walk-in benefits) </w:t>
      </w:r>
      <w:r w:rsidRPr="00D85A76">
        <w:rPr>
          <w:sz w:val="24"/>
          <w:szCs w:val="24"/>
          <w:highlight w:val="yellow"/>
        </w:rPr>
        <w:t>marks the initiation of APA service provision</w:t>
      </w:r>
      <w:r w:rsidR="00D85A76" w:rsidRPr="00D85A76">
        <w:rPr>
          <w:sz w:val="24"/>
          <w:szCs w:val="24"/>
          <w:highlight w:val="yellow"/>
        </w:rPr>
        <w:t>.</w:t>
      </w:r>
    </w:p>
    <w:p w14:paraId="58FAE8AE" w14:textId="77777777" w:rsidR="00306866" w:rsidRDefault="00B454FD">
      <w:pPr>
        <w:rPr>
          <w:b/>
          <w:bCs/>
          <w:sz w:val="24"/>
          <w:szCs w:val="24"/>
          <w:u w:val="single"/>
        </w:rPr>
      </w:pPr>
      <w:r>
        <w:rPr>
          <w:b/>
          <w:bCs/>
          <w:sz w:val="24"/>
          <w:szCs w:val="24"/>
          <w:u w:val="single"/>
        </w:rPr>
        <w:t>Conditions of Parole</w:t>
      </w:r>
    </w:p>
    <w:p w14:paraId="36C81CDB" w14:textId="7187CE9B" w:rsidR="00634191" w:rsidRDefault="00306866">
      <w:pPr>
        <w:rPr>
          <w:sz w:val="24"/>
          <w:szCs w:val="24"/>
        </w:rPr>
      </w:pPr>
      <w:r>
        <w:rPr>
          <w:sz w:val="24"/>
          <w:szCs w:val="24"/>
        </w:rPr>
        <w:t xml:space="preserve">In order to abide by the conditions of their parole, </w:t>
      </w:r>
      <w:r w:rsidR="007A14A5" w:rsidRPr="007A14A5">
        <w:rPr>
          <w:sz w:val="24"/>
          <w:szCs w:val="24"/>
        </w:rPr>
        <w:t>individuals must:</w:t>
      </w:r>
    </w:p>
    <w:p w14:paraId="352D66F6" w14:textId="29D3B027" w:rsidR="0009396B" w:rsidRPr="0009396B" w:rsidRDefault="00634191" w:rsidP="0009396B">
      <w:pPr>
        <w:pStyle w:val="ListParagraph"/>
        <w:numPr>
          <w:ilvl w:val="0"/>
          <w:numId w:val="1"/>
        </w:numPr>
        <w:rPr>
          <w:sz w:val="24"/>
          <w:szCs w:val="24"/>
        </w:rPr>
      </w:pPr>
      <w:r w:rsidRPr="0009396B">
        <w:rPr>
          <w:sz w:val="24"/>
          <w:szCs w:val="24"/>
        </w:rPr>
        <w:lastRenderedPageBreak/>
        <w:t xml:space="preserve">Receive certain vaccines and a tuberculosis test (if they were not received at a </w:t>
      </w:r>
      <w:r w:rsidR="0009396B" w:rsidRPr="0009396B">
        <w:rPr>
          <w:sz w:val="24"/>
          <w:szCs w:val="24"/>
        </w:rPr>
        <w:t xml:space="preserve"> </w:t>
      </w:r>
    </w:p>
    <w:p w14:paraId="0E5E0D73" w14:textId="100BF11C" w:rsidR="007A14A5" w:rsidRPr="0009396B" w:rsidRDefault="0009396B" w:rsidP="0009396B">
      <w:pPr>
        <w:pStyle w:val="ListParagraph"/>
        <w:ind w:left="1440"/>
        <w:rPr>
          <w:sz w:val="24"/>
          <w:szCs w:val="24"/>
        </w:rPr>
      </w:pPr>
      <w:r w:rsidRPr="0009396B">
        <w:rPr>
          <w:sz w:val="24"/>
          <w:szCs w:val="24"/>
        </w:rPr>
        <w:t xml:space="preserve"> </w:t>
      </w:r>
      <w:r w:rsidR="00634191" w:rsidRPr="0009396B">
        <w:rPr>
          <w:sz w:val="24"/>
          <w:szCs w:val="24"/>
        </w:rPr>
        <w:t>Safe Haven), and</w:t>
      </w:r>
      <w:r w:rsidR="007A14A5" w:rsidRPr="0009396B">
        <w:rPr>
          <w:sz w:val="24"/>
          <w:szCs w:val="24"/>
        </w:rPr>
        <w:t xml:space="preserve"> </w:t>
      </w:r>
    </w:p>
    <w:p w14:paraId="5DFC2B2A" w14:textId="5C9D01E1" w:rsidR="00CE3323" w:rsidRDefault="00634191" w:rsidP="0009396B">
      <w:pPr>
        <w:ind w:left="720"/>
        <w:rPr>
          <w:sz w:val="24"/>
          <w:szCs w:val="24"/>
        </w:rPr>
      </w:pPr>
      <w:r w:rsidRPr="00634191">
        <w:rPr>
          <w:sz w:val="24"/>
          <w:szCs w:val="24"/>
        </w:rPr>
        <w:t>(2)</w:t>
      </w:r>
      <w:r w:rsidRPr="00634191">
        <w:rPr>
          <w:sz w:val="24"/>
          <w:szCs w:val="24"/>
        </w:rPr>
        <w:tab/>
        <w:t>Notify USCIS of any new address within ten days of moving.</w:t>
      </w:r>
      <w:r w:rsidR="00FD41B5">
        <w:rPr>
          <w:sz w:val="24"/>
          <w:szCs w:val="24"/>
        </w:rPr>
        <w:t xml:space="preserve"> </w:t>
      </w:r>
    </w:p>
    <w:p w14:paraId="21547F11" w14:textId="77777777" w:rsidR="005F50BC" w:rsidRPr="005F50BC" w:rsidRDefault="005F50BC" w:rsidP="005F50BC">
      <w:pPr>
        <w:rPr>
          <w:sz w:val="24"/>
          <w:szCs w:val="24"/>
        </w:rPr>
      </w:pPr>
      <w:r w:rsidRPr="005F50BC">
        <w:rPr>
          <w:sz w:val="24"/>
          <w:szCs w:val="24"/>
        </w:rPr>
        <w:t xml:space="preserve">If an Afghan parolee bypasses the government run locations (Safe Havens) where vaccines are provided, that parolee must report their compliance with the conditions of parole by attesting to the information at the following webpage: https://www.uscis.gov/vaccination-status.    </w:t>
      </w:r>
    </w:p>
    <w:p w14:paraId="7C57E974" w14:textId="12CE34C7" w:rsidR="005F50BC" w:rsidRDefault="005F50BC" w:rsidP="005F50BC">
      <w:pPr>
        <w:rPr>
          <w:sz w:val="24"/>
          <w:szCs w:val="24"/>
        </w:rPr>
      </w:pPr>
      <w:r w:rsidRPr="005F50BC">
        <w:rPr>
          <w:sz w:val="24"/>
          <w:szCs w:val="24"/>
        </w:rPr>
        <w:t xml:space="preserve">If Afghan parolees need vaccines or TB screenings, </w:t>
      </w:r>
      <w:r>
        <w:rPr>
          <w:sz w:val="24"/>
          <w:szCs w:val="24"/>
        </w:rPr>
        <w:t>resettlement staff</w:t>
      </w:r>
      <w:r w:rsidRPr="005F50BC">
        <w:rPr>
          <w:sz w:val="24"/>
          <w:szCs w:val="24"/>
        </w:rPr>
        <w:t xml:space="preserve"> may need to assist them in locating facilities where they can obtain them. A sample template is included as a handout for local affiliates</w:t>
      </w:r>
      <w:r>
        <w:rPr>
          <w:sz w:val="24"/>
          <w:szCs w:val="24"/>
        </w:rPr>
        <w:t xml:space="preserve"> for this purpose</w:t>
      </w:r>
      <w:r w:rsidRPr="005F50BC">
        <w:rPr>
          <w:sz w:val="24"/>
          <w:szCs w:val="24"/>
        </w:rPr>
        <w:t>. Individuals who did not file form I-765 at a Safe Haven will need assistance to do so as soon as possible after arrival.</w:t>
      </w:r>
    </w:p>
    <w:p w14:paraId="19AAE512" w14:textId="77777777" w:rsidR="00991F5E" w:rsidRPr="00991F5E" w:rsidRDefault="00991F5E" w:rsidP="00991F5E">
      <w:pPr>
        <w:rPr>
          <w:b/>
          <w:bCs/>
          <w:sz w:val="24"/>
          <w:szCs w:val="24"/>
          <w:u w:val="single"/>
        </w:rPr>
      </w:pPr>
      <w:r w:rsidRPr="00991F5E">
        <w:rPr>
          <w:b/>
          <w:bCs/>
          <w:sz w:val="24"/>
          <w:szCs w:val="24"/>
          <w:u w:val="single"/>
        </w:rPr>
        <w:t xml:space="preserve">Immigration Status </w:t>
      </w:r>
    </w:p>
    <w:p w14:paraId="4C2298D0" w14:textId="77777777" w:rsidR="00991F5E" w:rsidRPr="00991F5E" w:rsidRDefault="00991F5E" w:rsidP="00991F5E">
      <w:pPr>
        <w:rPr>
          <w:sz w:val="24"/>
          <w:szCs w:val="24"/>
        </w:rPr>
      </w:pPr>
      <w:r w:rsidRPr="00991F5E">
        <w:rPr>
          <w:sz w:val="24"/>
          <w:szCs w:val="24"/>
        </w:rPr>
        <w:t xml:space="preserve">Parole is not a legal immigration status and does not provide a path to legal immigration status.  Parolees should be advised that they must take additional steps to ensure they remain legally present in the United States after their two-year authorized period of parole has ended.  If the parolee believes that they have suffered persecution or will suffer persecution if they return to Afghanistan, they should file form I-589, Application for Asylum and Withholding of Removal.  Filing for asylum can be a lengthy process and should be started soon after arrival.  </w:t>
      </w:r>
    </w:p>
    <w:p w14:paraId="68B7B8B0" w14:textId="09D3389B" w:rsidR="001A1731" w:rsidRPr="008A290A" w:rsidRDefault="001A1731">
      <w:pPr>
        <w:rPr>
          <w:sz w:val="24"/>
          <w:szCs w:val="24"/>
        </w:rPr>
      </w:pPr>
    </w:p>
    <w:sectPr w:rsidR="001A1731" w:rsidRPr="008A290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0B85F" w14:textId="77777777" w:rsidR="00100D19" w:rsidRDefault="00100D19" w:rsidP="00A0372E">
      <w:pPr>
        <w:spacing w:after="0" w:line="240" w:lineRule="auto"/>
      </w:pPr>
      <w:r>
        <w:separator/>
      </w:r>
    </w:p>
  </w:endnote>
  <w:endnote w:type="continuationSeparator" w:id="0">
    <w:p w14:paraId="01A897B7" w14:textId="77777777" w:rsidR="00100D19" w:rsidRDefault="00100D19" w:rsidP="00A03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42C1B" w14:textId="59442840" w:rsidR="00A0372E" w:rsidRDefault="00A0372E">
    <w:pPr>
      <w:pStyle w:val="Footer"/>
    </w:pPr>
    <w:r w:rsidRPr="00A0372E">
      <w:rPr>
        <w:highlight w:val="yellow"/>
      </w:rPr>
      <w:t xml:space="preserve">Rev. </w:t>
    </w:r>
    <w:r w:rsidR="00D85A76">
      <w:rPr>
        <w:highlight w:val="yellow"/>
      </w:rPr>
      <w:t>11/10/</w:t>
    </w:r>
    <w:r w:rsidRPr="00A0372E">
      <w:rPr>
        <w:highlight w:val="yellow"/>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8464E" w14:textId="77777777" w:rsidR="00100D19" w:rsidRDefault="00100D19" w:rsidP="00A0372E">
      <w:pPr>
        <w:spacing w:after="0" w:line="240" w:lineRule="auto"/>
      </w:pPr>
      <w:r>
        <w:separator/>
      </w:r>
    </w:p>
  </w:footnote>
  <w:footnote w:type="continuationSeparator" w:id="0">
    <w:p w14:paraId="5143E941" w14:textId="77777777" w:rsidR="00100D19" w:rsidRDefault="00100D19" w:rsidP="00A037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42304"/>
    <w:multiLevelType w:val="multilevel"/>
    <w:tmpl w:val="11789FA4"/>
    <w:lvl w:ilvl="0">
      <w:start w:val="1"/>
      <w:numFmt w:val="bullet"/>
      <w:lvlText w:val=""/>
      <w:lvlJc w:val="left"/>
      <w:pPr>
        <w:tabs>
          <w:tab w:val="num" w:pos="720"/>
        </w:tabs>
        <w:ind w:left="0" w:hanging="360"/>
      </w:pPr>
      <w:rPr>
        <w:rFonts w:ascii="Symbol" w:hAnsi="Symbol" w:hint="default"/>
        <w:sz w:val="20"/>
      </w:rPr>
    </w:lvl>
    <w:lvl w:ilvl="1">
      <w:start w:val="1"/>
      <w:numFmt w:val="bullet"/>
      <w:lvlText w:val=""/>
      <w:lvlJc w:val="left"/>
      <w:pPr>
        <w:tabs>
          <w:tab w:val="num" w:pos="1440"/>
        </w:tabs>
        <w:ind w:left="720" w:hanging="360"/>
      </w:pPr>
      <w:rPr>
        <w:rFonts w:ascii="Symbol" w:hAnsi="Symbol" w:hint="default"/>
        <w:sz w:val="20"/>
      </w:rPr>
    </w:lvl>
    <w:lvl w:ilvl="2">
      <w:start w:val="1"/>
      <w:numFmt w:val="bullet"/>
      <w:lvlText w:val=""/>
      <w:lvlJc w:val="left"/>
      <w:pPr>
        <w:tabs>
          <w:tab w:val="num" w:pos="2160"/>
        </w:tabs>
        <w:ind w:left="1440" w:hanging="360"/>
      </w:pPr>
      <w:rPr>
        <w:rFonts w:ascii="Symbol" w:hAnsi="Symbol" w:hint="default"/>
        <w:sz w:val="20"/>
      </w:rPr>
    </w:lvl>
    <w:lvl w:ilvl="3" w:tentative="1">
      <w:start w:val="1"/>
      <w:numFmt w:val="bullet"/>
      <w:lvlText w:val=""/>
      <w:lvlJc w:val="left"/>
      <w:pPr>
        <w:tabs>
          <w:tab w:val="num" w:pos="2880"/>
        </w:tabs>
        <w:ind w:left="2160" w:hanging="360"/>
      </w:pPr>
      <w:rPr>
        <w:rFonts w:ascii="Symbol" w:hAnsi="Symbol" w:hint="default"/>
        <w:sz w:val="20"/>
      </w:rPr>
    </w:lvl>
    <w:lvl w:ilvl="4" w:tentative="1">
      <w:start w:val="1"/>
      <w:numFmt w:val="bullet"/>
      <w:lvlText w:val=""/>
      <w:lvlJc w:val="left"/>
      <w:pPr>
        <w:tabs>
          <w:tab w:val="num" w:pos="3600"/>
        </w:tabs>
        <w:ind w:left="2880" w:hanging="360"/>
      </w:pPr>
      <w:rPr>
        <w:rFonts w:ascii="Symbol" w:hAnsi="Symbol" w:hint="default"/>
        <w:sz w:val="20"/>
      </w:rPr>
    </w:lvl>
    <w:lvl w:ilvl="5" w:tentative="1">
      <w:start w:val="1"/>
      <w:numFmt w:val="bullet"/>
      <w:lvlText w:val=""/>
      <w:lvlJc w:val="left"/>
      <w:pPr>
        <w:tabs>
          <w:tab w:val="num" w:pos="4320"/>
        </w:tabs>
        <w:ind w:left="3600" w:hanging="360"/>
      </w:pPr>
      <w:rPr>
        <w:rFonts w:ascii="Symbol" w:hAnsi="Symbol" w:hint="default"/>
        <w:sz w:val="20"/>
      </w:rPr>
    </w:lvl>
    <w:lvl w:ilvl="6" w:tentative="1">
      <w:start w:val="1"/>
      <w:numFmt w:val="bullet"/>
      <w:lvlText w:val=""/>
      <w:lvlJc w:val="left"/>
      <w:pPr>
        <w:tabs>
          <w:tab w:val="num" w:pos="5040"/>
        </w:tabs>
        <w:ind w:left="4320" w:hanging="360"/>
      </w:pPr>
      <w:rPr>
        <w:rFonts w:ascii="Symbol" w:hAnsi="Symbol" w:hint="default"/>
        <w:sz w:val="20"/>
      </w:rPr>
    </w:lvl>
    <w:lvl w:ilvl="7" w:tentative="1">
      <w:start w:val="1"/>
      <w:numFmt w:val="bullet"/>
      <w:lvlText w:val=""/>
      <w:lvlJc w:val="left"/>
      <w:pPr>
        <w:tabs>
          <w:tab w:val="num" w:pos="5760"/>
        </w:tabs>
        <w:ind w:left="5040" w:hanging="360"/>
      </w:pPr>
      <w:rPr>
        <w:rFonts w:ascii="Symbol" w:hAnsi="Symbol" w:hint="default"/>
        <w:sz w:val="20"/>
      </w:rPr>
    </w:lvl>
    <w:lvl w:ilvl="8" w:tentative="1">
      <w:start w:val="1"/>
      <w:numFmt w:val="bullet"/>
      <w:lvlText w:val=""/>
      <w:lvlJc w:val="left"/>
      <w:pPr>
        <w:tabs>
          <w:tab w:val="num" w:pos="6480"/>
        </w:tabs>
        <w:ind w:left="5760" w:hanging="360"/>
      </w:pPr>
      <w:rPr>
        <w:rFonts w:ascii="Symbol" w:hAnsi="Symbol" w:hint="default"/>
        <w:sz w:val="20"/>
      </w:rPr>
    </w:lvl>
  </w:abstractNum>
  <w:abstractNum w:abstractNumId="1" w15:restartNumberingAfterBreak="0">
    <w:nsid w:val="391925F2"/>
    <w:multiLevelType w:val="hybridMultilevel"/>
    <w:tmpl w:val="AE64D768"/>
    <w:lvl w:ilvl="0" w:tplc="4404D0F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00C1160"/>
    <w:multiLevelType w:val="hybridMultilevel"/>
    <w:tmpl w:val="996C35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93B"/>
    <w:rsid w:val="0009396B"/>
    <w:rsid w:val="000D34BA"/>
    <w:rsid w:val="00100D19"/>
    <w:rsid w:val="00143450"/>
    <w:rsid w:val="00145131"/>
    <w:rsid w:val="001A1731"/>
    <w:rsid w:val="00306866"/>
    <w:rsid w:val="0035063E"/>
    <w:rsid w:val="00405343"/>
    <w:rsid w:val="00420739"/>
    <w:rsid w:val="004477E6"/>
    <w:rsid w:val="005C2E43"/>
    <w:rsid w:val="005F50BC"/>
    <w:rsid w:val="00634191"/>
    <w:rsid w:val="007878FF"/>
    <w:rsid w:val="007A14A5"/>
    <w:rsid w:val="0086493B"/>
    <w:rsid w:val="00876658"/>
    <w:rsid w:val="008A290A"/>
    <w:rsid w:val="00903CA4"/>
    <w:rsid w:val="00991F5E"/>
    <w:rsid w:val="009F544A"/>
    <w:rsid w:val="00A0372E"/>
    <w:rsid w:val="00A85064"/>
    <w:rsid w:val="00B454FD"/>
    <w:rsid w:val="00B5099E"/>
    <w:rsid w:val="00BD2184"/>
    <w:rsid w:val="00C6323F"/>
    <w:rsid w:val="00CA2521"/>
    <w:rsid w:val="00CE3323"/>
    <w:rsid w:val="00D35F33"/>
    <w:rsid w:val="00D85A76"/>
    <w:rsid w:val="00F20265"/>
    <w:rsid w:val="00F847DF"/>
    <w:rsid w:val="00F93B60"/>
    <w:rsid w:val="00FA58B9"/>
    <w:rsid w:val="00FD4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EABC8"/>
  <w15:chartTrackingRefBased/>
  <w15:docId w15:val="{4510AD3D-14D9-4858-AB8C-7EAFD1306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3B60"/>
    <w:rPr>
      <w:color w:val="0563C1" w:themeColor="hyperlink"/>
      <w:u w:val="single"/>
    </w:rPr>
  </w:style>
  <w:style w:type="character" w:styleId="UnresolvedMention">
    <w:name w:val="Unresolved Mention"/>
    <w:basedOn w:val="DefaultParagraphFont"/>
    <w:uiPriority w:val="99"/>
    <w:semiHidden/>
    <w:unhideWhenUsed/>
    <w:rsid w:val="00F93B60"/>
    <w:rPr>
      <w:color w:val="605E5C"/>
      <w:shd w:val="clear" w:color="auto" w:fill="E1DFDD"/>
    </w:rPr>
  </w:style>
  <w:style w:type="character" w:styleId="FollowedHyperlink">
    <w:name w:val="FollowedHyperlink"/>
    <w:basedOn w:val="DefaultParagraphFont"/>
    <w:uiPriority w:val="99"/>
    <w:semiHidden/>
    <w:unhideWhenUsed/>
    <w:rsid w:val="00F93B60"/>
    <w:rPr>
      <w:color w:val="954F72" w:themeColor="followedHyperlink"/>
      <w:u w:val="single"/>
    </w:rPr>
  </w:style>
  <w:style w:type="paragraph" w:styleId="ListParagraph">
    <w:name w:val="List Paragraph"/>
    <w:basedOn w:val="Normal"/>
    <w:uiPriority w:val="34"/>
    <w:qFormat/>
    <w:rsid w:val="0009396B"/>
    <w:pPr>
      <w:ind w:left="720"/>
      <w:contextualSpacing/>
    </w:pPr>
  </w:style>
  <w:style w:type="paragraph" w:customStyle="1" w:styleId="paragraph">
    <w:name w:val="paragraph"/>
    <w:basedOn w:val="Normal"/>
    <w:rsid w:val="00C632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6323F"/>
  </w:style>
  <w:style w:type="character" w:customStyle="1" w:styleId="eop">
    <w:name w:val="eop"/>
    <w:basedOn w:val="DefaultParagraphFont"/>
    <w:rsid w:val="00C6323F"/>
  </w:style>
  <w:style w:type="paragraph" w:styleId="Header">
    <w:name w:val="header"/>
    <w:basedOn w:val="Normal"/>
    <w:link w:val="HeaderChar"/>
    <w:uiPriority w:val="99"/>
    <w:unhideWhenUsed/>
    <w:rsid w:val="00A037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72E"/>
  </w:style>
  <w:style w:type="paragraph" w:styleId="Footer">
    <w:name w:val="footer"/>
    <w:basedOn w:val="Normal"/>
    <w:link w:val="FooterChar"/>
    <w:uiPriority w:val="99"/>
    <w:unhideWhenUsed/>
    <w:rsid w:val="00A037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94.cbp.dhs.gov/I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5366</CharactersWithSpaces>
  <SharedDoc>false</SharedDoc>
  <HLinks>
    <vt:vector size="6" baseType="variant">
      <vt:variant>
        <vt:i4>7667809</vt:i4>
      </vt:variant>
      <vt:variant>
        <vt:i4>0</vt:i4>
      </vt:variant>
      <vt:variant>
        <vt:i4>0</vt:i4>
      </vt:variant>
      <vt:variant>
        <vt:i4>5</vt:i4>
      </vt:variant>
      <vt:variant>
        <vt:lpwstr>https://i94.cbp.dhs.gov/I94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Pollock</dc:creator>
  <cp:keywords/>
  <dc:description/>
  <cp:lastModifiedBy>Sarah Evans</cp:lastModifiedBy>
  <cp:revision>2</cp:revision>
  <dcterms:created xsi:type="dcterms:W3CDTF">2021-11-10T14:57:00Z</dcterms:created>
  <dcterms:modified xsi:type="dcterms:W3CDTF">2021-11-10T14:57:00Z</dcterms:modified>
</cp:coreProperties>
</file>